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56FBB" w14:textId="77777777" w:rsidR="00C64D67" w:rsidRPr="00744057" w:rsidRDefault="00000000">
      <w:pPr>
        <w:pStyle w:val="GDMCover"/>
        <w:rPr>
          <w:rFonts w:ascii="Arial" w:hAnsi="Arial" w:cs="Arial"/>
        </w:rPr>
        <w:sectPr w:rsidR="00C64D67" w:rsidRPr="00744057">
          <w:headerReference w:type="default" r:id="rId7"/>
          <w:footerReference w:type="default" r:id="rId8"/>
          <w:pgSz w:w="12240" w:h="15840"/>
          <w:pgMar w:top="0" w:right="0" w:bottom="0" w:left="0" w:header="0" w:footer="0" w:gutter="0"/>
          <w:cols w:space="720"/>
        </w:sectPr>
      </w:pPr>
      <w:r w:rsidRPr="00744057">
        <w:rPr>
          <w:rFonts w:ascii="Arial" w:hAnsi="Arial" w:cs="Arial"/>
          <w:noProof/>
        </w:rPr>
        <w:drawing>
          <wp:anchor distT="0" distB="0" distL="0" distR="0" simplePos="0" relativeHeight="251658240" behindDoc="1" locked="1" layoutInCell="1" allowOverlap="1" wp14:anchorId="27857D9A" wp14:editId="473037E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Cover" descr="Portfolio Proposal Andrei Prepared by Bogdan Genesis Risk Monitor 26 October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DC1927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Portfolio review</w:t>
      </w:r>
    </w:p>
    <w:p w14:paraId="4FBD93D5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current portfolio's top five positions account for 100% and have substantial influence on portfolio outcomes.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3"/>
        <w:gridCol w:w="1983"/>
        <w:gridCol w:w="2092"/>
        <w:gridCol w:w="1902"/>
      </w:tblGrid>
      <w:tr w:rsidR="00C64D67" w:rsidRPr="00744057" w14:paraId="2ABA28C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83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6DD21BB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Measure</w:t>
            </w:r>
          </w:p>
        </w:tc>
        <w:tc>
          <w:tcPr>
            <w:tcW w:w="1983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C63C41F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Current</w:t>
            </w:r>
          </w:p>
        </w:tc>
        <w:tc>
          <w:tcPr>
            <w:tcW w:w="2092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A67B426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Proposed</w:t>
            </w:r>
          </w:p>
        </w:tc>
        <w:tc>
          <w:tcPr>
            <w:tcW w:w="1902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776FC4E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Change</w:t>
            </w:r>
          </w:p>
        </w:tc>
      </w:tr>
      <w:tr w:rsidR="00C64D67" w:rsidRPr="00744057" w14:paraId="3D3330D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83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2BA6E06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Volatility</w:t>
            </w:r>
          </w:p>
        </w:tc>
        <w:tc>
          <w:tcPr>
            <w:tcW w:w="1983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51BA3F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209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06DEEA9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  <w:tc>
          <w:tcPr>
            <w:tcW w:w="190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4697826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</w:tr>
      <w:tr w:rsidR="00C64D67" w:rsidRPr="00744057" w14:paraId="679B8A2E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83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FE52BD9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Maximum drawdown</w:t>
            </w:r>
          </w:p>
        </w:tc>
        <w:tc>
          <w:tcPr>
            <w:tcW w:w="1983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5D0272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209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D7BF995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190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822BC3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13.1%</w:t>
            </w:r>
          </w:p>
        </w:tc>
      </w:tr>
      <w:tr w:rsidR="00C64D67" w:rsidRPr="00744057" w14:paraId="63683DE2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683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510FED2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Value at risk (95%)</w:t>
            </w:r>
          </w:p>
        </w:tc>
        <w:tc>
          <w:tcPr>
            <w:tcW w:w="1983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80C9EA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2092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72F1068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902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3955846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</w:tbl>
    <w:p w14:paraId="311AF9BE" w14:textId="77777777" w:rsidR="00C64D67" w:rsidRPr="00744057" w:rsidRDefault="00C64D67">
      <w:pPr>
        <w:pStyle w:val="GDMSpacer"/>
        <w:rPr>
          <w:rFonts w:ascii="Arial" w:hAnsi="Arial" w:cs="Arial"/>
        </w:rPr>
      </w:pPr>
    </w:p>
    <w:p w14:paraId="72EBC46A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portfolio shows a high level of concentration across the available position or exposure measures.</w:t>
      </w:r>
    </w:p>
    <w:p w14:paraId="59DB00E8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proposed strategy introduces a higher estimated level of portfolio risk.</w:t>
      </w:r>
    </w:p>
    <w:p w14:paraId="41BE9B6C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proposed strategy improves some aspects of diversification while increasing concentration elsewhere.</w:t>
      </w:r>
    </w:p>
    <w:p w14:paraId="485D6197" w14:textId="77777777" w:rsidR="00C64D67" w:rsidRPr="00744057" w:rsidRDefault="00C64D67">
      <w:pPr>
        <w:rPr>
          <w:rFonts w:ascii="Arial" w:hAnsi="Arial" w:cs="Arial"/>
        </w:rPr>
      </w:pPr>
    </w:p>
    <w:p w14:paraId="4175B226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t>Your portfolio today</w:t>
      </w:r>
    </w:p>
    <w:p w14:paraId="5B4042E8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current portfolio's top five positions account for 100% and have substantial influence on portfolio outcomes.</w:t>
      </w:r>
    </w:p>
    <w:p w14:paraId="4B5395B9" w14:textId="77777777" w:rsidR="00C64D67" w:rsidRPr="00744057" w:rsidRDefault="00000000">
      <w:pPr>
        <w:rPr>
          <w:rFonts w:ascii="Arial" w:hAnsi="Arial" w:cs="Arial"/>
        </w:rPr>
      </w:pPr>
      <w:r w:rsidRPr="00744057">
        <w:rPr>
          <w:rFonts w:ascii="Arial" w:hAnsi="Arial" w:cs="Arial"/>
        </w:rPr>
        <w:t>Portfolio value $2,807,849, held in 5 positions. The five largest make up 100.0% of the portfolio.</w:t>
      </w:r>
    </w:p>
    <w:p w14:paraId="60A3B312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1FDDE3FA" wp14:editId="1E7FAABD">
            <wp:extent cx="6134100" cy="2114780"/>
            <wp:effectExtent l="0" t="0" r="0" b="0"/>
            <wp:docPr id="2" name="Chart" descr="State Street® SPDR® S&amp;P 500® ETF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art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1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9A3B7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portfolio shows a high level of concentration across the available position or exposure measures.</w:t>
      </w:r>
    </w:p>
    <w:p w14:paraId="09AA65B9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t>Current portfolio vs proposed strategy</w:t>
      </w:r>
    </w:p>
    <w:p w14:paraId="690D0D33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proposed strategy introduces a higher estimated level of portfolio risk.</w:t>
      </w:r>
    </w:p>
    <w:p w14:paraId="34C047B1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Comparable risk measures indicate a higher overall estimated risk profile for the proposed strategy.</w:t>
      </w:r>
    </w:p>
    <w:p w14:paraId="4F8B2A9D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lastRenderedPageBreak/>
        <w:drawing>
          <wp:inline distT="0" distB="0" distL="0" distR="0" wp14:anchorId="22C5E1FD" wp14:editId="1C7B6BC6">
            <wp:extent cx="6134100" cy="2312655"/>
            <wp:effectExtent l="0" t="0" r="0" b="0"/>
            <wp:docPr id="3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ar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31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EB6A8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higher risk estimate should be considered as a distinct characteristic of the proposed strategy.</w:t>
      </w:r>
    </w:p>
    <w:p w14:paraId="68E21AE7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available evidence does not support a uniform improvement in diversification.</w:t>
      </w:r>
    </w:p>
    <w:p w14:paraId="452F01E2" w14:textId="77777777" w:rsidR="00C64D67" w:rsidRPr="00744057" w:rsidRDefault="00C64D67">
      <w:pPr>
        <w:rPr>
          <w:rFonts w:ascii="Arial" w:hAnsi="Arial" w:cs="Arial"/>
        </w:rPr>
      </w:pPr>
    </w:p>
    <w:p w14:paraId="37681F82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t>Understanding potential downside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0"/>
        <w:gridCol w:w="2316"/>
        <w:gridCol w:w="1106"/>
        <w:gridCol w:w="1822"/>
        <w:gridCol w:w="1215"/>
        <w:gridCol w:w="1931"/>
      </w:tblGrid>
      <w:tr w:rsidR="00C64D67" w:rsidRPr="00744057" w14:paraId="6D12825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70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08D80FD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Measure</w:t>
            </w:r>
          </w:p>
        </w:tc>
        <w:tc>
          <w:tcPr>
            <w:tcW w:w="2316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F9A3DAE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Basis</w:t>
            </w:r>
          </w:p>
        </w:tc>
        <w:tc>
          <w:tcPr>
            <w:tcW w:w="1106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B3D18E6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Current</w:t>
            </w:r>
          </w:p>
        </w:tc>
        <w:tc>
          <w:tcPr>
            <w:tcW w:w="1822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1F0FD7C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Current impact</w:t>
            </w:r>
          </w:p>
        </w:tc>
        <w:tc>
          <w:tcPr>
            <w:tcW w:w="1215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5392DED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Proposed</w:t>
            </w:r>
          </w:p>
        </w:tc>
        <w:tc>
          <w:tcPr>
            <w:tcW w:w="1931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DA3B98F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Proposed impact</w:t>
            </w:r>
          </w:p>
        </w:tc>
      </w:tr>
      <w:tr w:rsidR="00C64D67" w:rsidRPr="00744057" w14:paraId="79227386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27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A1ED97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Maximum drawdown</w:t>
            </w:r>
          </w:p>
        </w:tc>
        <w:tc>
          <w:tcPr>
            <w:tcW w:w="231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C8A4563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Observed period</w:t>
            </w:r>
          </w:p>
        </w:tc>
        <w:tc>
          <w:tcPr>
            <w:tcW w:w="110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F94AAA0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25.6%</w:t>
            </w:r>
          </w:p>
        </w:tc>
        <w:tc>
          <w:tcPr>
            <w:tcW w:w="182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56296C9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−$717,560</w:t>
            </w:r>
          </w:p>
        </w:tc>
        <w:tc>
          <w:tcPr>
            <w:tcW w:w="121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23F94FA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38.6%</w:t>
            </w:r>
          </w:p>
        </w:tc>
        <w:tc>
          <w:tcPr>
            <w:tcW w:w="1931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C4333A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−$1,084,200</w:t>
            </w:r>
          </w:p>
        </w:tc>
      </w:tr>
      <w:tr w:rsidR="00C64D67" w:rsidRPr="00744057" w14:paraId="420C3DEB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27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9B6C94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Value at risk (95%)</w:t>
            </w:r>
          </w:p>
        </w:tc>
        <w:tc>
          <w:tcPr>
            <w:tcW w:w="231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4555EEC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95% confidence, 1 day</w:t>
            </w:r>
          </w:p>
        </w:tc>
        <w:tc>
          <w:tcPr>
            <w:tcW w:w="110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A27564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822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226CE9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−$58,976</w:t>
            </w:r>
          </w:p>
        </w:tc>
        <w:tc>
          <w:tcPr>
            <w:tcW w:w="121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5D16CE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931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E4B83CD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−$66,383</w:t>
            </w:r>
          </w:p>
        </w:tc>
      </w:tr>
      <w:tr w:rsidR="00C64D67" w:rsidRPr="00744057" w14:paraId="7C12D69A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270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AB0302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Expected shortfall (95%)</w:t>
            </w:r>
          </w:p>
        </w:tc>
        <w:tc>
          <w:tcPr>
            <w:tcW w:w="2316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434CC9F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95% confidence, 1 day</w:t>
            </w:r>
          </w:p>
        </w:tc>
        <w:tc>
          <w:tcPr>
            <w:tcW w:w="1106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89AB1EC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  <w:tc>
          <w:tcPr>
            <w:tcW w:w="1822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1A8937B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−$89,419</w:t>
            </w:r>
          </w:p>
        </w:tc>
        <w:tc>
          <w:tcPr>
            <w:tcW w:w="1215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B2ED37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1931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E743B46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−$97,160</w:t>
            </w:r>
          </w:p>
        </w:tc>
      </w:tr>
    </w:tbl>
    <w:p w14:paraId="183FCDB7" w14:textId="77777777" w:rsidR="00744057" w:rsidRDefault="00744057" w:rsidP="00744057"/>
    <w:p w14:paraId="6E37D62C" w14:textId="77777777" w:rsidR="00744057" w:rsidRDefault="00744057" w:rsidP="00744057"/>
    <w:p w14:paraId="4604A7B4" w14:textId="77777777" w:rsidR="00744057" w:rsidRDefault="00744057" w:rsidP="00744057"/>
    <w:p w14:paraId="66835011" w14:textId="77777777" w:rsidR="00744057" w:rsidRDefault="00744057" w:rsidP="00744057"/>
    <w:p w14:paraId="5923FB6A" w14:textId="77777777" w:rsidR="00744057" w:rsidRDefault="00744057" w:rsidP="00744057"/>
    <w:p w14:paraId="0E76DF2D" w14:textId="77777777" w:rsidR="00744057" w:rsidRDefault="00744057" w:rsidP="00744057"/>
    <w:p w14:paraId="0417C8F5" w14:textId="77777777" w:rsidR="00744057" w:rsidRDefault="00744057" w:rsidP="00744057"/>
    <w:p w14:paraId="4E599368" w14:textId="77777777" w:rsidR="00744057" w:rsidRDefault="00744057" w:rsidP="00744057"/>
    <w:p w14:paraId="02B9C1D0" w14:textId="77777777" w:rsidR="00744057" w:rsidRDefault="00744057" w:rsidP="00744057"/>
    <w:p w14:paraId="43C4196D" w14:textId="77777777" w:rsidR="00744057" w:rsidRPr="00744057" w:rsidRDefault="00744057" w:rsidP="00744057"/>
    <w:p w14:paraId="731AF06F" w14:textId="4B423D33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How the portfolio would change</w:t>
      </w:r>
    </w:p>
    <w:p w14:paraId="6B86B9F3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The proposed strategy meaningfully reshapes the portfolio's instrument mix.</w:t>
      </w:r>
    </w:p>
    <w:p w14:paraId="2A988136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At least one instrument-type category changes by a material share of the portfolio; the composition below reflects that shift.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9"/>
        <w:gridCol w:w="2231"/>
        <w:gridCol w:w="2340"/>
        <w:gridCol w:w="2150"/>
      </w:tblGrid>
      <w:tr w:rsidR="00C64D67" w:rsidRPr="00744057" w14:paraId="479F2F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39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7A1B7AE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Category</w:t>
            </w:r>
          </w:p>
        </w:tc>
        <w:tc>
          <w:tcPr>
            <w:tcW w:w="2231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210577D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Current</w:t>
            </w:r>
          </w:p>
        </w:tc>
        <w:tc>
          <w:tcPr>
            <w:tcW w:w="2340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7F948F9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Proposed</w:t>
            </w:r>
          </w:p>
        </w:tc>
        <w:tc>
          <w:tcPr>
            <w:tcW w:w="2150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1716E3F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Change</w:t>
            </w:r>
          </w:p>
        </w:tc>
      </w:tr>
      <w:tr w:rsidR="00C64D67" w:rsidRPr="00744057" w14:paraId="1979CB48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939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0DC8FC3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Stocks</w:t>
            </w:r>
          </w:p>
        </w:tc>
        <w:tc>
          <w:tcPr>
            <w:tcW w:w="2231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88412B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86.5%</w:t>
            </w:r>
          </w:p>
        </w:tc>
        <w:tc>
          <w:tcPr>
            <w:tcW w:w="234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DCEDF62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60.0%</w:t>
            </w:r>
          </w:p>
        </w:tc>
        <w:tc>
          <w:tcPr>
            <w:tcW w:w="215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45C7177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-26.5%</w:t>
            </w:r>
          </w:p>
        </w:tc>
      </w:tr>
      <w:tr w:rsidR="00C64D67" w:rsidRPr="00744057" w14:paraId="124DDA33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939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078561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ETFs</w:t>
            </w:r>
          </w:p>
        </w:tc>
        <w:tc>
          <w:tcPr>
            <w:tcW w:w="2231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38C388D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2340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562650B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2150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ACB3F72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</w:tbl>
    <w:p w14:paraId="4FB88BA7" w14:textId="77777777" w:rsidR="00C64D67" w:rsidRPr="00744057" w:rsidRDefault="00C64D67">
      <w:pPr>
        <w:pStyle w:val="GDMSpacer"/>
        <w:rPr>
          <w:rFonts w:ascii="Arial" w:hAnsi="Arial" w:cs="Arial"/>
        </w:rPr>
      </w:pPr>
    </w:p>
    <w:p w14:paraId="7DED6400" w14:textId="172255DB" w:rsidR="00744057" w:rsidRDefault="00000000" w:rsidP="00744057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45E23BA2" wp14:editId="1316923E">
            <wp:extent cx="6134100" cy="2207534"/>
            <wp:effectExtent l="0" t="0" r="0" b="0"/>
            <wp:docPr id="4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ar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20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F072B" w14:textId="77777777" w:rsidR="00744057" w:rsidRDefault="00744057" w:rsidP="00744057"/>
    <w:p w14:paraId="68DACB78" w14:textId="77777777" w:rsidR="00744057" w:rsidRDefault="00744057" w:rsidP="00744057"/>
    <w:p w14:paraId="5DCA47A0" w14:textId="77777777" w:rsidR="00744057" w:rsidRDefault="00744057" w:rsidP="00744057"/>
    <w:p w14:paraId="66CD059A" w14:textId="77777777" w:rsidR="00744057" w:rsidRDefault="00744057" w:rsidP="00744057"/>
    <w:p w14:paraId="1CCAA2C7" w14:textId="77777777" w:rsidR="00744057" w:rsidRDefault="00744057" w:rsidP="00744057"/>
    <w:p w14:paraId="5E9D3CC0" w14:textId="77777777" w:rsidR="00744057" w:rsidRDefault="00744057" w:rsidP="00744057"/>
    <w:p w14:paraId="4C7670AE" w14:textId="77777777" w:rsidR="00744057" w:rsidRDefault="00744057" w:rsidP="00744057"/>
    <w:p w14:paraId="4759E10D" w14:textId="77777777" w:rsidR="00744057" w:rsidRDefault="00744057" w:rsidP="00744057"/>
    <w:p w14:paraId="635095C6" w14:textId="77777777" w:rsidR="00744057" w:rsidRDefault="00744057" w:rsidP="00744057"/>
    <w:p w14:paraId="6EC2CCAA" w14:textId="77777777" w:rsidR="00744057" w:rsidRDefault="00744057" w:rsidP="00744057"/>
    <w:p w14:paraId="2742EC0D" w14:textId="77777777" w:rsidR="00744057" w:rsidRDefault="00744057" w:rsidP="00744057"/>
    <w:p w14:paraId="1FDDD554" w14:textId="77777777" w:rsidR="00744057" w:rsidRPr="00744057" w:rsidRDefault="00744057" w:rsidP="00744057"/>
    <w:p w14:paraId="2167BE41" w14:textId="038AC67D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Where the portfolio is invested</w:t>
      </w:r>
    </w:p>
    <w:p w14:paraId="23FA9A28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Sector exposure shifts across the portfolio's classified holdings.</w:t>
      </w:r>
    </w:p>
    <w:p w14:paraId="5FF8C280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Authoritative sector classifications cover enough of both portfolios to compare sector weights directly; the comparison below reflects only the classified share of each portfolio.</w:t>
      </w:r>
    </w:p>
    <w:p w14:paraId="654A9DC3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63F50693" wp14:editId="4A0A1C21">
            <wp:extent cx="6134100" cy="5651782"/>
            <wp:effectExtent l="0" t="0" r="0" b="0"/>
            <wp:docPr id="5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ar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565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325F1" w14:textId="77777777" w:rsidR="00C64D67" w:rsidRDefault="00C64D67">
      <w:pPr>
        <w:rPr>
          <w:rFonts w:ascii="Arial" w:hAnsi="Arial" w:cs="Arial"/>
        </w:rPr>
      </w:pPr>
    </w:p>
    <w:p w14:paraId="6B383D59" w14:textId="77777777" w:rsidR="00744057" w:rsidRDefault="00744057">
      <w:pPr>
        <w:rPr>
          <w:rFonts w:ascii="Arial" w:hAnsi="Arial" w:cs="Arial"/>
        </w:rPr>
      </w:pPr>
    </w:p>
    <w:p w14:paraId="10D5FCE8" w14:textId="77777777" w:rsidR="00744057" w:rsidRDefault="00744057">
      <w:pPr>
        <w:rPr>
          <w:rFonts w:ascii="Arial" w:hAnsi="Arial" w:cs="Arial"/>
        </w:rPr>
      </w:pPr>
    </w:p>
    <w:p w14:paraId="3DD91E62" w14:textId="77777777" w:rsidR="00744057" w:rsidRPr="00744057" w:rsidRDefault="00744057">
      <w:pPr>
        <w:rPr>
          <w:rFonts w:ascii="Arial" w:hAnsi="Arial" w:cs="Arial"/>
        </w:rPr>
      </w:pPr>
    </w:p>
    <w:p w14:paraId="7A238229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How the portfolios have behaved</w:t>
      </w:r>
    </w:p>
    <w:p w14:paraId="3F456996" w14:textId="77777777" w:rsidR="00C64D67" w:rsidRPr="00744057" w:rsidRDefault="00000000">
      <w:pPr>
        <w:pStyle w:val="GDMNarrative"/>
        <w:rPr>
          <w:rFonts w:ascii="Arial" w:hAnsi="Arial" w:cs="Arial"/>
        </w:rPr>
      </w:pPr>
      <w:r w:rsidRPr="00744057">
        <w:rPr>
          <w:rFonts w:ascii="Arial" w:hAnsi="Arial" w:cs="Arial"/>
        </w:rPr>
        <w:t>Over the comparable measurement period, the proposed strategy's return measure is materially lower; this comparison does not imply future results.</w:t>
      </w:r>
    </w:p>
    <w:p w14:paraId="64F081B9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00E5F8F5" wp14:editId="118C6FC0">
            <wp:extent cx="6134100" cy="2720770"/>
            <wp:effectExtent l="0" t="0" r="0" b="0"/>
            <wp:docPr id="6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ar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72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D7510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53A7DAB0" wp14:editId="697D7148">
            <wp:extent cx="6134100" cy="1558259"/>
            <wp:effectExtent l="0" t="0" r="0" b="0"/>
            <wp:docPr id="7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art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155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9"/>
        <w:gridCol w:w="2371"/>
        <w:gridCol w:w="2480"/>
      </w:tblGrid>
      <w:tr w:rsidR="00C64D67" w:rsidRPr="00744057" w14:paraId="10E0641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09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E70E55F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Metric</w:t>
            </w:r>
          </w:p>
        </w:tc>
        <w:tc>
          <w:tcPr>
            <w:tcW w:w="2371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C1C190C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Current</w:t>
            </w:r>
          </w:p>
        </w:tc>
        <w:tc>
          <w:tcPr>
            <w:tcW w:w="2480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CF9A94A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Proposed</w:t>
            </w:r>
          </w:p>
        </w:tc>
      </w:tr>
      <w:tr w:rsidR="00C64D67" w:rsidRPr="00744057" w14:paraId="118590D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809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B6D5320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Cumulative return</w:t>
            </w:r>
          </w:p>
        </w:tc>
        <w:tc>
          <w:tcPr>
            <w:tcW w:w="2371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C1ABB01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187.1%</w:t>
            </w:r>
          </w:p>
        </w:tc>
        <w:tc>
          <w:tcPr>
            <w:tcW w:w="248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8850109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85.3%</w:t>
            </w:r>
          </w:p>
        </w:tc>
      </w:tr>
      <w:tr w:rsidR="00C64D67" w:rsidRPr="00744057" w14:paraId="1F22A340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809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C13128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Annualized return</w:t>
            </w:r>
          </w:p>
        </w:tc>
        <w:tc>
          <w:tcPr>
            <w:tcW w:w="2371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2BB81C5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23.6%</w:t>
            </w:r>
          </w:p>
        </w:tc>
        <w:tc>
          <w:tcPr>
            <w:tcW w:w="2480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E6E0E2D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</w:tr>
      <w:tr w:rsidR="00C64D67" w:rsidRPr="00744057" w14:paraId="15FF000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809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EDD8BFF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Maximum drawdown</w:t>
            </w:r>
          </w:p>
        </w:tc>
        <w:tc>
          <w:tcPr>
            <w:tcW w:w="2371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4505C86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-25.6%</w:t>
            </w:r>
          </w:p>
        </w:tc>
        <w:tc>
          <w:tcPr>
            <w:tcW w:w="2480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9FA64E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-38.6%</w:t>
            </w:r>
          </w:p>
        </w:tc>
      </w:tr>
    </w:tbl>
    <w:p w14:paraId="72B04F2D" w14:textId="77777777" w:rsidR="00C64D67" w:rsidRPr="00744057" w:rsidRDefault="00C64D67">
      <w:pPr>
        <w:pStyle w:val="GDMSpacer"/>
        <w:rPr>
          <w:rFonts w:ascii="Arial" w:hAnsi="Arial" w:cs="Arial"/>
        </w:rPr>
      </w:pPr>
    </w:p>
    <w:p w14:paraId="70DA5440" w14:textId="77777777" w:rsidR="00C64D67" w:rsidRDefault="00C64D67">
      <w:pPr>
        <w:rPr>
          <w:rFonts w:ascii="Arial" w:hAnsi="Arial" w:cs="Arial"/>
        </w:rPr>
      </w:pPr>
    </w:p>
    <w:p w14:paraId="4535E931" w14:textId="77777777" w:rsidR="00744057" w:rsidRDefault="00744057">
      <w:pPr>
        <w:rPr>
          <w:rFonts w:ascii="Arial" w:hAnsi="Arial" w:cs="Arial"/>
        </w:rPr>
      </w:pPr>
    </w:p>
    <w:p w14:paraId="6B11AF25" w14:textId="77777777" w:rsidR="00744057" w:rsidRDefault="00744057">
      <w:pPr>
        <w:rPr>
          <w:rFonts w:ascii="Arial" w:hAnsi="Arial" w:cs="Arial"/>
        </w:rPr>
      </w:pPr>
    </w:p>
    <w:p w14:paraId="60DBBA39" w14:textId="77777777" w:rsidR="00744057" w:rsidRDefault="00744057">
      <w:pPr>
        <w:rPr>
          <w:rFonts w:ascii="Arial" w:hAnsi="Arial" w:cs="Arial"/>
        </w:rPr>
      </w:pPr>
    </w:p>
    <w:p w14:paraId="2B147955" w14:textId="77777777" w:rsidR="00744057" w:rsidRPr="00744057" w:rsidRDefault="00744057">
      <w:pPr>
        <w:rPr>
          <w:rFonts w:ascii="Arial" w:hAnsi="Arial" w:cs="Arial"/>
        </w:rPr>
      </w:pPr>
    </w:p>
    <w:p w14:paraId="02DF1277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The recommended strategy</w:t>
      </w:r>
    </w:p>
    <w:p w14:paraId="42D41268" w14:textId="77777777" w:rsidR="00C64D67" w:rsidRPr="00744057" w:rsidRDefault="00000000">
      <w:pPr>
        <w:pStyle w:val="GDMLead"/>
        <w:rPr>
          <w:rFonts w:ascii="Arial" w:hAnsi="Arial" w:cs="Arial"/>
        </w:rPr>
      </w:pPr>
      <w:r w:rsidRPr="00744057">
        <w:rPr>
          <w:rFonts w:ascii="Arial" w:hAnsi="Arial" w:cs="Arial"/>
        </w:rPr>
        <w:t>Core Model</w:t>
      </w:r>
    </w:p>
    <w:p w14:paraId="5CD2FBF2" w14:textId="77777777" w:rsidR="00C64D67" w:rsidRPr="00744057" w:rsidRDefault="00000000">
      <w:pPr>
        <w:pStyle w:val="GDMChart"/>
        <w:rPr>
          <w:rFonts w:ascii="Arial" w:hAnsi="Arial" w:cs="Arial"/>
        </w:rPr>
      </w:pPr>
      <w:r w:rsidRPr="00744057">
        <w:rPr>
          <w:rFonts w:ascii="Arial" w:hAnsi="Arial" w:cs="Arial"/>
          <w:noProof/>
        </w:rPr>
        <w:drawing>
          <wp:inline distT="0" distB="0" distL="0" distR="0" wp14:anchorId="0C6FC980" wp14:editId="3791EE05">
            <wp:extent cx="2921000" cy="835660"/>
            <wp:effectExtent l="0" t="0" r="0" b="0"/>
            <wp:docPr id="8" name="Chart" descr="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hart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83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5"/>
        <w:gridCol w:w="4705"/>
      </w:tblGrid>
      <w:tr w:rsidR="00C64D67" w:rsidRPr="00744057" w14:paraId="500C06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5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5184D6E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Attribute</w:t>
            </w:r>
          </w:p>
        </w:tc>
        <w:tc>
          <w:tcPr>
            <w:tcW w:w="4705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05F389F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Value</w:t>
            </w:r>
          </w:p>
        </w:tc>
      </w:tr>
      <w:tr w:rsidR="00C64D67" w:rsidRPr="00744057" w14:paraId="44FF19D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5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85F553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Strategy type</w:t>
            </w:r>
          </w:p>
        </w:tc>
        <w:tc>
          <w:tcPr>
            <w:tcW w:w="470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C543195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Model portfolio</w:t>
            </w:r>
          </w:p>
        </w:tc>
      </w:tr>
      <w:tr w:rsidR="00C64D67" w:rsidRPr="00744057" w14:paraId="1AB95FE0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5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98F1890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Benchmark</w:t>
            </w:r>
          </w:p>
        </w:tc>
        <w:tc>
          <w:tcPr>
            <w:tcW w:w="470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1ADFC6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QQQ</w:t>
            </w:r>
          </w:p>
        </w:tc>
      </w:tr>
      <w:tr w:rsidR="00C64D67" w:rsidRPr="00744057" w14:paraId="75468D01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5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49FE765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Rebalance policy</w:t>
            </w:r>
          </w:p>
        </w:tc>
        <w:tc>
          <w:tcPr>
            <w:tcW w:w="4705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57CF16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Monthly</w:t>
            </w:r>
          </w:p>
        </w:tc>
      </w:tr>
      <w:tr w:rsidR="00C64D67" w:rsidRPr="00744057" w14:paraId="4C66F94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55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E9C5839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Advisory fee</w:t>
            </w:r>
          </w:p>
        </w:tc>
        <w:tc>
          <w:tcPr>
            <w:tcW w:w="4705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EF15C19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2.00%</w:t>
            </w:r>
          </w:p>
        </w:tc>
      </w:tr>
    </w:tbl>
    <w:p w14:paraId="6F5824C7" w14:textId="77777777" w:rsidR="00C64D67" w:rsidRPr="00744057" w:rsidRDefault="00C64D67">
      <w:pPr>
        <w:rPr>
          <w:rFonts w:ascii="Arial" w:hAnsi="Arial" w:cs="Arial"/>
        </w:rPr>
      </w:pPr>
    </w:p>
    <w:p w14:paraId="2387E12D" w14:textId="77777777" w:rsidR="00C64D67" w:rsidRPr="00744057" w:rsidRDefault="00C64D67">
      <w:pPr>
        <w:rPr>
          <w:rFonts w:ascii="Arial" w:hAnsi="Arial" w:cs="Arial"/>
        </w:rPr>
      </w:pPr>
    </w:p>
    <w:p w14:paraId="2ED650FE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t>Methodology and disclosures</w:t>
      </w:r>
    </w:p>
    <w:p w14:paraId="6EEDEB59" w14:textId="77777777" w:rsidR="00C64D67" w:rsidRPr="00744057" w:rsidRDefault="00000000">
      <w:pPr>
        <w:pStyle w:val="GDMDisclosure"/>
        <w:rPr>
          <w:rFonts w:ascii="Arial" w:hAnsi="Arial" w:cs="Arial"/>
        </w:rPr>
      </w:pPr>
      <w:r w:rsidRPr="00744057">
        <w:rPr>
          <w:rFonts w:ascii="Arial" w:hAnsi="Arial" w:cs="Arial"/>
        </w:rPr>
        <w:t>Past performance does not guarantee future results. Analytics are estimates computed from the data available when this proposal was prepared.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4"/>
        <w:gridCol w:w="4756"/>
      </w:tblGrid>
      <w:tr w:rsidR="00C64D67" w:rsidRPr="00744057" w14:paraId="6469EE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04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86AB5AF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Item</w:t>
            </w:r>
          </w:p>
        </w:tc>
        <w:tc>
          <w:tcPr>
            <w:tcW w:w="4756" w:type="dxa"/>
            <w:tcBorders>
              <w:top w:val="single" w:sz="8" w:space="0" w:color="17212B"/>
              <w:bottom w:val="single" w:sz="4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0C8DA41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Detail</w:t>
            </w:r>
          </w:p>
        </w:tc>
      </w:tr>
      <w:tr w:rsidR="00C64D67" w:rsidRPr="00744057" w14:paraId="3901FE0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EDFD992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Current methodology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CAAA17C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 xml:space="preserve">Current Holdings </w:t>
            </w:r>
            <w:proofErr w:type="spellStart"/>
            <w:r w:rsidRPr="00744057">
              <w:rPr>
                <w:rFonts w:ascii="Arial" w:hAnsi="Arial" w:cs="Arial"/>
                <w:sz w:val="18"/>
                <w:szCs w:val="18"/>
              </w:rPr>
              <w:t>Backtest</w:t>
            </w:r>
            <w:proofErr w:type="spellEnd"/>
          </w:p>
        </w:tc>
      </w:tr>
      <w:tr w:rsidR="00C64D67" w:rsidRPr="00744057" w14:paraId="100369FF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C7AD5E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Proposed methodology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F6D5284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 xml:space="preserve">Model Portfolio </w:t>
            </w:r>
            <w:proofErr w:type="spellStart"/>
            <w:r w:rsidRPr="00744057">
              <w:rPr>
                <w:rFonts w:ascii="Arial" w:hAnsi="Arial" w:cs="Arial"/>
                <w:sz w:val="18"/>
                <w:szCs w:val="18"/>
              </w:rPr>
              <w:t>Backtest</w:t>
            </w:r>
            <w:proofErr w:type="spellEnd"/>
          </w:p>
        </w:tc>
      </w:tr>
      <w:tr w:rsidR="00C64D67" w:rsidRPr="00744057" w14:paraId="5F9E69C6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E061F85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Measured period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BF420E2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2021-10-28 to 2026-10-23</w:t>
            </w:r>
          </w:p>
        </w:tc>
      </w:tr>
      <w:tr w:rsidR="00C64D67" w:rsidRPr="00744057" w14:paraId="2FD53575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B4CAB84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Observations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75CD7F2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1251</w:t>
            </w:r>
          </w:p>
        </w:tc>
      </w:tr>
      <w:tr w:rsidR="00C64D67" w:rsidRPr="00744057" w14:paraId="1BA35673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1709B7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Fee basis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809663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Gross</w:t>
            </w:r>
          </w:p>
        </w:tc>
      </w:tr>
      <w:tr w:rsidR="00C64D67" w:rsidRPr="00744057" w14:paraId="36765C4C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438470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Benchmark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E09BBCC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SPY</w:t>
            </w:r>
          </w:p>
        </w:tc>
      </w:tr>
      <w:tr w:rsidR="00C64D67" w:rsidRPr="00744057" w14:paraId="73317E11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75BFAB9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Risk measurement basis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5527CEB3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 xml:space="preserve">Historical </w:t>
            </w:r>
            <w:proofErr w:type="spellStart"/>
            <w:r w:rsidRPr="00744057">
              <w:rPr>
                <w:rFonts w:ascii="Arial" w:hAnsi="Arial" w:cs="Arial"/>
                <w:sz w:val="18"/>
                <w:szCs w:val="18"/>
              </w:rPr>
              <w:t>VaR</w:t>
            </w:r>
            <w:proofErr w:type="spellEnd"/>
            <w:r w:rsidRPr="00744057">
              <w:rPr>
                <w:rFonts w:ascii="Arial" w:hAnsi="Arial" w:cs="Arial"/>
                <w:sz w:val="18"/>
                <w:szCs w:val="18"/>
              </w:rPr>
              <w:t xml:space="preserve"> / Expected Shortfall · 95% confidence · 1-day horizon</w:t>
            </w:r>
          </w:p>
        </w:tc>
      </w:tr>
      <w:tr w:rsidR="00C64D67" w:rsidRPr="00744057" w14:paraId="364DECB4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4CBE5899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Comparison policy version</w:t>
            </w:r>
          </w:p>
        </w:tc>
        <w:tc>
          <w:tcPr>
            <w:tcW w:w="4756" w:type="dxa"/>
            <w:tcBorders>
              <w:bottom w:val="single" w:sz="2" w:space="0" w:color="D7DEE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D59BA54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C64D67" w:rsidRPr="00744057" w14:paraId="5364D4C7" w14:textId="7777777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4904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667E741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Calculated</w:t>
            </w:r>
          </w:p>
        </w:tc>
        <w:tc>
          <w:tcPr>
            <w:tcW w:w="4756" w:type="dxa"/>
            <w:tcBorders>
              <w:bottom w:val="single" w:sz="8" w:space="0" w:color="17212B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C390AE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2026-10-26</w:t>
            </w:r>
          </w:p>
        </w:tc>
      </w:tr>
    </w:tbl>
    <w:p w14:paraId="5E43B659" w14:textId="77777777" w:rsidR="00C64D67" w:rsidRPr="00744057" w:rsidRDefault="00C64D67">
      <w:pPr>
        <w:pStyle w:val="GDMSpacer"/>
        <w:rPr>
          <w:rFonts w:ascii="Arial" w:hAnsi="Arial" w:cs="Arial"/>
        </w:rPr>
      </w:pPr>
    </w:p>
    <w:p w14:paraId="66B76F4A" w14:textId="77777777" w:rsidR="00C64D67" w:rsidRPr="00744057" w:rsidRDefault="00000000">
      <w:pPr>
        <w:pStyle w:val="Heading1"/>
        <w:pageBreakBefore/>
        <w:rPr>
          <w:rFonts w:ascii="Arial" w:hAnsi="Arial" w:cs="Arial"/>
        </w:rPr>
      </w:pPr>
      <w:r w:rsidRPr="00744057">
        <w:rPr>
          <w:rFonts w:ascii="Arial" w:hAnsi="Arial" w:cs="Arial"/>
        </w:rPr>
        <w:lastRenderedPageBreak/>
        <w:t>Current portfolio holdings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2"/>
        <w:gridCol w:w="1950"/>
        <w:gridCol w:w="1305"/>
        <w:gridCol w:w="1537"/>
        <w:gridCol w:w="1414"/>
        <w:gridCol w:w="1363"/>
        <w:gridCol w:w="1029"/>
      </w:tblGrid>
      <w:tr w:rsidR="00C64D67" w:rsidRPr="00744057" w14:paraId="42F8D0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62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635467F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Symbol</w:t>
            </w:r>
          </w:p>
        </w:tc>
        <w:tc>
          <w:tcPr>
            <w:tcW w:w="1950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4DE3D18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Security</w:t>
            </w:r>
          </w:p>
        </w:tc>
        <w:tc>
          <w:tcPr>
            <w:tcW w:w="1305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CDA9C15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Direction</w:t>
            </w:r>
          </w:p>
        </w:tc>
        <w:tc>
          <w:tcPr>
            <w:tcW w:w="1537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9A2ADB8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Asset class</w:t>
            </w:r>
          </w:p>
        </w:tc>
        <w:tc>
          <w:tcPr>
            <w:tcW w:w="1414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0EF2862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Sector</w:t>
            </w:r>
          </w:p>
        </w:tc>
        <w:tc>
          <w:tcPr>
            <w:tcW w:w="1363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1ED2ED0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Value</w:t>
            </w:r>
          </w:p>
        </w:tc>
        <w:tc>
          <w:tcPr>
            <w:tcW w:w="1029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329BB08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Weight</w:t>
            </w:r>
          </w:p>
        </w:tc>
      </w:tr>
      <w:tr w:rsidR="00C64D67" w:rsidRPr="00744057" w14:paraId="2728DF77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06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E6CAA4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LLY</w:t>
            </w:r>
          </w:p>
        </w:tc>
        <w:tc>
          <w:tcPr>
            <w:tcW w:w="1950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9CDCB9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Eli Lilly and Company</w:t>
            </w:r>
          </w:p>
        </w:tc>
        <w:tc>
          <w:tcPr>
            <w:tcW w:w="1305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70889F2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Long</w:t>
            </w:r>
          </w:p>
        </w:tc>
        <w:tc>
          <w:tcPr>
            <w:tcW w:w="1537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DA0C8D4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41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C45448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1363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862F53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$1,273,460</w:t>
            </w:r>
          </w:p>
        </w:tc>
        <w:tc>
          <w:tcPr>
            <w:tcW w:w="102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7670B49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45.4%</w:t>
            </w:r>
          </w:p>
        </w:tc>
      </w:tr>
      <w:tr w:rsidR="00C64D67" w:rsidRPr="00744057" w14:paraId="309FD5A5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06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61199F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AAPL</w:t>
            </w:r>
          </w:p>
        </w:tc>
        <w:tc>
          <w:tcPr>
            <w:tcW w:w="1950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C4B97D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Apple Inc.</w:t>
            </w:r>
          </w:p>
        </w:tc>
        <w:tc>
          <w:tcPr>
            <w:tcW w:w="1305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B0D763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Long</w:t>
            </w:r>
          </w:p>
        </w:tc>
        <w:tc>
          <w:tcPr>
            <w:tcW w:w="1537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E7CE4A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41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85D0894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Technology</w:t>
            </w:r>
          </w:p>
        </w:tc>
        <w:tc>
          <w:tcPr>
            <w:tcW w:w="1363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41EDFCB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$695,450</w:t>
            </w:r>
          </w:p>
        </w:tc>
        <w:tc>
          <w:tcPr>
            <w:tcW w:w="102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F7C5A45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24.8%</w:t>
            </w:r>
          </w:p>
        </w:tc>
      </w:tr>
      <w:tr w:rsidR="00C64D67" w:rsidRPr="00744057" w14:paraId="0C795631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06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ED3E6D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SPY</w:t>
            </w:r>
          </w:p>
        </w:tc>
        <w:tc>
          <w:tcPr>
            <w:tcW w:w="1950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24BC663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State Street® SPDR® S&amp;P 500® ETF Trust</w:t>
            </w:r>
          </w:p>
        </w:tc>
        <w:tc>
          <w:tcPr>
            <w:tcW w:w="1305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006763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Long</w:t>
            </w:r>
          </w:p>
        </w:tc>
        <w:tc>
          <w:tcPr>
            <w:tcW w:w="1537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2F2FDC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ETF</w:t>
            </w:r>
          </w:p>
        </w:tc>
        <w:tc>
          <w:tcPr>
            <w:tcW w:w="141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EFF2358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Financials</w:t>
            </w:r>
          </w:p>
        </w:tc>
        <w:tc>
          <w:tcPr>
            <w:tcW w:w="1363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CFBD58F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$379,985</w:t>
            </w:r>
          </w:p>
        </w:tc>
        <w:tc>
          <w:tcPr>
            <w:tcW w:w="102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43CD30C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C64D67" w:rsidRPr="00744057" w14:paraId="0EBE113E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06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5EC5FAF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TSLA</w:t>
            </w:r>
          </w:p>
        </w:tc>
        <w:tc>
          <w:tcPr>
            <w:tcW w:w="1950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81F73C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Tesla Inc</w:t>
            </w:r>
          </w:p>
        </w:tc>
        <w:tc>
          <w:tcPr>
            <w:tcW w:w="1305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9AA2DE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Long</w:t>
            </w:r>
          </w:p>
        </w:tc>
        <w:tc>
          <w:tcPr>
            <w:tcW w:w="1537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0B0CE9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41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9F33DF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Consumer Cyclical</w:t>
            </w:r>
          </w:p>
        </w:tc>
        <w:tc>
          <w:tcPr>
            <w:tcW w:w="1363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39E14C2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$260,554</w:t>
            </w:r>
          </w:p>
        </w:tc>
        <w:tc>
          <w:tcPr>
            <w:tcW w:w="102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28F4E5D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9.3%</w:t>
            </w:r>
          </w:p>
        </w:tc>
      </w:tr>
      <w:tr w:rsidR="00C64D67" w:rsidRPr="00744057" w14:paraId="13CF0285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062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CA827A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AMZN</w:t>
            </w:r>
          </w:p>
        </w:tc>
        <w:tc>
          <w:tcPr>
            <w:tcW w:w="1950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A05167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Amazon.com Inc</w:t>
            </w:r>
          </w:p>
        </w:tc>
        <w:tc>
          <w:tcPr>
            <w:tcW w:w="1305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03CB2CB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Long</w:t>
            </w:r>
          </w:p>
        </w:tc>
        <w:tc>
          <w:tcPr>
            <w:tcW w:w="1537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3A3F979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414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4A68E17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Consumer Cyclical</w:t>
            </w:r>
          </w:p>
        </w:tc>
        <w:tc>
          <w:tcPr>
            <w:tcW w:w="1363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4A6015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$198,400</w:t>
            </w:r>
          </w:p>
        </w:tc>
        <w:tc>
          <w:tcPr>
            <w:tcW w:w="1029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F8F341C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</w:tr>
    </w:tbl>
    <w:p w14:paraId="07A074D2" w14:textId="77777777" w:rsidR="00C64D67" w:rsidRPr="00744057" w:rsidRDefault="00C64D67">
      <w:pPr>
        <w:pStyle w:val="GDMSpacer"/>
        <w:rPr>
          <w:rFonts w:ascii="Arial" w:hAnsi="Arial" w:cs="Arial"/>
        </w:rPr>
      </w:pPr>
    </w:p>
    <w:p w14:paraId="31AE6139" w14:textId="77777777" w:rsidR="00C64D67" w:rsidRPr="00744057" w:rsidRDefault="00C64D67">
      <w:pPr>
        <w:rPr>
          <w:rFonts w:ascii="Arial" w:hAnsi="Arial" w:cs="Arial"/>
        </w:rPr>
      </w:pPr>
    </w:p>
    <w:p w14:paraId="09D4A5BF" w14:textId="77777777" w:rsidR="00C64D67" w:rsidRPr="00744057" w:rsidRDefault="00000000">
      <w:pPr>
        <w:pStyle w:val="Heading1"/>
        <w:rPr>
          <w:rFonts w:ascii="Arial" w:hAnsi="Arial" w:cs="Arial"/>
        </w:rPr>
      </w:pPr>
      <w:r w:rsidRPr="00744057">
        <w:rPr>
          <w:rFonts w:ascii="Arial" w:hAnsi="Arial" w:cs="Arial"/>
        </w:rPr>
        <w:t>Proposed strategy holdings</w:t>
      </w:r>
    </w:p>
    <w:tbl>
      <w:tblPr>
        <w:tblW w:w="96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9"/>
        <w:gridCol w:w="3434"/>
        <w:gridCol w:w="1892"/>
        <w:gridCol w:w="1769"/>
        <w:gridCol w:w="1266"/>
      </w:tblGrid>
      <w:tr w:rsidR="00C64D67" w:rsidRPr="00744057" w14:paraId="4F1E979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99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DE7424A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Symbol</w:t>
            </w:r>
          </w:p>
        </w:tc>
        <w:tc>
          <w:tcPr>
            <w:tcW w:w="3434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BE6E9AC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Security</w:t>
            </w:r>
          </w:p>
        </w:tc>
        <w:tc>
          <w:tcPr>
            <w:tcW w:w="1892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49F4EB1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Asset class</w:t>
            </w:r>
          </w:p>
        </w:tc>
        <w:tc>
          <w:tcPr>
            <w:tcW w:w="1769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3E9AA2A9" w14:textId="77777777" w:rsidR="00C64D67" w:rsidRPr="00744057" w:rsidRDefault="00000000">
            <w:pPr>
              <w:spacing w:after="0" w:line="276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Sector</w:t>
            </w:r>
          </w:p>
        </w:tc>
        <w:tc>
          <w:tcPr>
            <w:tcW w:w="1266" w:type="dxa"/>
            <w:tcBorders>
              <w:top w:val="single" w:sz="8" w:space="0" w:color="17212B"/>
              <w:bottom w:val="single" w:sz="4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D5EF660" w14:textId="77777777" w:rsidR="00C64D67" w:rsidRPr="00744057" w:rsidRDefault="00000000">
            <w:pPr>
              <w:spacing w:after="0" w:line="276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b/>
                <w:caps/>
                <w:color w:val="5E6874"/>
                <w:spacing w:val="10"/>
                <w:sz w:val="15"/>
                <w:szCs w:val="15"/>
              </w:rPr>
              <w:t>Weight</w:t>
            </w:r>
          </w:p>
        </w:tc>
      </w:tr>
      <w:tr w:rsidR="00C64D67" w:rsidRPr="00744057" w14:paraId="23BD216A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29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3A97595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SPY</w:t>
            </w:r>
          </w:p>
        </w:tc>
        <w:tc>
          <w:tcPr>
            <w:tcW w:w="343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710C226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SPY</w:t>
            </w:r>
          </w:p>
        </w:tc>
        <w:tc>
          <w:tcPr>
            <w:tcW w:w="189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8F510A8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ETF</w:t>
            </w:r>
          </w:p>
        </w:tc>
        <w:tc>
          <w:tcPr>
            <w:tcW w:w="176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C8CE9C0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266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54F05A18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C64D67" w:rsidRPr="00744057" w14:paraId="17E343BA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29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9B7990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CRM</w:t>
            </w:r>
          </w:p>
        </w:tc>
        <w:tc>
          <w:tcPr>
            <w:tcW w:w="343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37774BF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CRM</w:t>
            </w:r>
          </w:p>
        </w:tc>
        <w:tc>
          <w:tcPr>
            <w:tcW w:w="189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8C681E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76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2715AF3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Technology</w:t>
            </w:r>
          </w:p>
        </w:tc>
        <w:tc>
          <w:tcPr>
            <w:tcW w:w="1266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21BAD753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C64D67" w:rsidRPr="00744057" w14:paraId="2B0F0079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29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4A9EF5F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MSFT</w:t>
            </w:r>
          </w:p>
        </w:tc>
        <w:tc>
          <w:tcPr>
            <w:tcW w:w="343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650B6D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MSFT</w:t>
            </w:r>
          </w:p>
        </w:tc>
        <w:tc>
          <w:tcPr>
            <w:tcW w:w="189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1838A88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76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E666C3C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Technology</w:t>
            </w:r>
          </w:p>
        </w:tc>
        <w:tc>
          <w:tcPr>
            <w:tcW w:w="1266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A52F1B2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C64D67" w:rsidRPr="00744057" w14:paraId="6125D2B4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29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7991EE6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VOO</w:t>
            </w:r>
          </w:p>
        </w:tc>
        <w:tc>
          <w:tcPr>
            <w:tcW w:w="3434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E7309E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VOO</w:t>
            </w:r>
          </w:p>
        </w:tc>
        <w:tc>
          <w:tcPr>
            <w:tcW w:w="1892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E50D1B1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ETF</w:t>
            </w:r>
          </w:p>
        </w:tc>
        <w:tc>
          <w:tcPr>
            <w:tcW w:w="1769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D89523D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—</w:t>
            </w:r>
          </w:p>
        </w:tc>
        <w:tc>
          <w:tcPr>
            <w:tcW w:w="1266" w:type="dxa"/>
            <w:tcBorders>
              <w:bottom w:val="single" w:sz="2" w:space="0" w:color="D7DEE6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6824A6F4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C64D67" w:rsidRPr="00744057" w14:paraId="2F1CAEC1" w14:textId="77777777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299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3112B18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NVDA</w:t>
            </w:r>
          </w:p>
        </w:tc>
        <w:tc>
          <w:tcPr>
            <w:tcW w:w="3434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44AEFA2E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NVDA</w:t>
            </w:r>
          </w:p>
        </w:tc>
        <w:tc>
          <w:tcPr>
            <w:tcW w:w="1892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7C094FA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Stock</w:t>
            </w:r>
          </w:p>
        </w:tc>
        <w:tc>
          <w:tcPr>
            <w:tcW w:w="1769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021FF245" w14:textId="77777777" w:rsidR="00C64D67" w:rsidRPr="00744057" w:rsidRDefault="00000000">
            <w:pPr>
              <w:spacing w:after="0" w:line="297" w:lineRule="auto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Technology</w:t>
            </w:r>
          </w:p>
        </w:tc>
        <w:tc>
          <w:tcPr>
            <w:tcW w:w="1266" w:type="dxa"/>
            <w:tcBorders>
              <w:bottom w:val="single" w:sz="8" w:space="0" w:color="17212B"/>
            </w:tcBorders>
            <w:tcMar>
              <w:top w:w="65" w:type="dxa"/>
              <w:left w:w="120" w:type="dxa"/>
              <w:bottom w:w="65" w:type="dxa"/>
              <w:right w:w="120" w:type="dxa"/>
            </w:tcMar>
            <w:vAlign w:val="bottom"/>
          </w:tcPr>
          <w:p w14:paraId="1E9E046E" w14:textId="77777777" w:rsidR="00C64D67" w:rsidRPr="00744057" w:rsidRDefault="00000000">
            <w:pPr>
              <w:spacing w:after="0" w:line="297" w:lineRule="auto"/>
              <w:jc w:val="right"/>
              <w:rPr>
                <w:rFonts w:ascii="Arial" w:hAnsi="Arial" w:cs="Arial"/>
              </w:rPr>
            </w:pPr>
            <w:r w:rsidRPr="00744057"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</w:tbl>
    <w:p w14:paraId="7A68F4D5" w14:textId="77777777" w:rsidR="00C64D67" w:rsidRPr="00744057" w:rsidRDefault="00C64D67">
      <w:pPr>
        <w:pStyle w:val="GDMSpacer"/>
        <w:rPr>
          <w:rFonts w:ascii="Arial" w:hAnsi="Arial" w:cs="Arial"/>
        </w:rPr>
      </w:pPr>
    </w:p>
    <w:sectPr w:rsidR="00C64D67" w:rsidRPr="00744057">
      <w:headerReference w:type="default" r:id="rId17"/>
      <w:footerReference w:type="default" r:id="rId18"/>
      <w:pgSz w:w="12240" w:h="15840"/>
      <w:pgMar w:top="1185" w:right="1290" w:bottom="1065" w:left="1290" w:header="518" w:footer="4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693C8" w14:textId="77777777" w:rsidR="00225D10" w:rsidRDefault="00225D10">
      <w:pPr>
        <w:spacing w:after="0" w:line="240" w:lineRule="auto"/>
      </w:pPr>
      <w:r>
        <w:separator/>
      </w:r>
    </w:p>
  </w:endnote>
  <w:endnote w:type="continuationSeparator" w:id="0">
    <w:p w14:paraId="5A960824" w14:textId="77777777" w:rsidR="00225D10" w:rsidRDefault="00225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890A4" w14:textId="77777777" w:rsidR="00C64D67" w:rsidRDefault="00C64D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D9F1" w14:textId="77777777" w:rsidR="00C64D67" w:rsidRDefault="00000000">
    <w:pPr>
      <w:pStyle w:val="GDMFooter"/>
    </w:pPr>
    <w:r>
      <w:t xml:space="preserve">Investment </w:t>
    </w:r>
    <w:proofErr w:type="gramStart"/>
    <w:r>
      <w:t>proposal  ·</w:t>
    </w:r>
    <w:proofErr w:type="gramEnd"/>
    <w:r>
      <w:t xml:space="preserve">  Confidential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9708E" w14:textId="77777777" w:rsidR="00225D10" w:rsidRDefault="00225D10">
      <w:pPr>
        <w:spacing w:after="0" w:line="240" w:lineRule="auto"/>
      </w:pPr>
      <w:r>
        <w:separator/>
      </w:r>
    </w:p>
  </w:footnote>
  <w:footnote w:type="continuationSeparator" w:id="0">
    <w:p w14:paraId="6FA61267" w14:textId="77777777" w:rsidR="00225D10" w:rsidRDefault="00225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D873" w14:textId="77777777" w:rsidR="00C64D67" w:rsidRDefault="00C64D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6E93C" w14:textId="77777777" w:rsidR="00C64D67" w:rsidRDefault="00C64D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EB0"/>
    <w:multiLevelType w:val="singleLevel"/>
    <w:tmpl w:val="57583916"/>
    <w:lvl w:ilvl="0">
      <w:start w:val="1"/>
      <w:numFmt w:val="decimal"/>
      <w:lvlText w:val="%1."/>
      <w:lvlJc w:val="left"/>
      <w:pPr>
        <w:ind w:left="320" w:hanging="220"/>
      </w:pPr>
      <w:rPr>
        <w:rFonts w:ascii="Inter" w:hAnsi="Inter" w:cs="Inter"/>
      </w:rPr>
    </w:lvl>
  </w:abstractNum>
  <w:abstractNum w:abstractNumId="1" w15:restartNumberingAfterBreak="0">
    <w:nsid w:val="79BA2AA9"/>
    <w:multiLevelType w:val="singleLevel"/>
    <w:tmpl w:val="2302483A"/>
    <w:lvl w:ilvl="0">
      <w:start w:val="1"/>
      <w:numFmt w:val="bullet"/>
      <w:lvlText w:val="•"/>
      <w:lvlJc w:val="left"/>
      <w:pPr>
        <w:ind w:left="320" w:hanging="220"/>
      </w:pPr>
      <w:rPr>
        <w:rFonts w:ascii="Inter" w:hAnsi="Inter" w:cs="Inter"/>
      </w:rPr>
    </w:lvl>
  </w:abstractNum>
  <w:num w:numId="1" w16cid:durableId="1793984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D67"/>
    <w:rsid w:val="00225D10"/>
    <w:rsid w:val="00744057"/>
    <w:rsid w:val="00A43EAE"/>
    <w:rsid w:val="00C6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9047C"/>
  <w15:docId w15:val="{69C39728-48AE-4918-A39D-F13B1438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17212B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88" w:lineRule="atLeast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80" w:line="488" w:lineRule="atLeast"/>
      <w:outlineLvl w:val="0"/>
    </w:pPr>
    <w:rPr>
      <w:b/>
      <w:bCs/>
      <w:color w:val="16324F"/>
      <w:sz w:val="46"/>
      <w:szCs w:val="4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100" w:line="342" w:lineRule="atLeast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80" w:line="230" w:lineRule="atLeast"/>
      <w:outlineLvl w:val="2"/>
    </w:pPr>
    <w:rPr>
      <w:b/>
      <w:bCs/>
      <w:caps/>
      <w:color w:val="3BBBF1"/>
      <w:spacing w:val="18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DMLead">
    <w:name w:val="GDM Lead"/>
    <w:basedOn w:val="Normal"/>
    <w:next w:val="Normal"/>
    <w:qFormat/>
    <w:pPr>
      <w:spacing w:line="342" w:lineRule="atLeast"/>
    </w:pPr>
    <w:rPr>
      <w:sz w:val="28"/>
      <w:szCs w:val="28"/>
    </w:rPr>
  </w:style>
  <w:style w:type="paragraph" w:customStyle="1" w:styleId="GDMDisclosure">
    <w:name w:val="GDM Disclosure"/>
    <w:basedOn w:val="Normal"/>
    <w:next w:val="Normal"/>
    <w:qFormat/>
    <w:pPr>
      <w:spacing w:line="221" w:lineRule="atLeast"/>
    </w:pPr>
    <w:rPr>
      <w:color w:val="6B7684"/>
      <w:sz w:val="16"/>
      <w:szCs w:val="16"/>
    </w:rPr>
  </w:style>
  <w:style w:type="paragraph" w:customStyle="1" w:styleId="GDMNarrative">
    <w:name w:val="GDM Narrative"/>
    <w:basedOn w:val="Normal"/>
    <w:next w:val="Normal"/>
    <w:qFormat/>
    <w:pPr>
      <w:spacing w:after="180" w:line="300" w:lineRule="atLeast"/>
    </w:pPr>
    <w:rPr>
      <w:color w:val="46505C"/>
    </w:rPr>
  </w:style>
  <w:style w:type="paragraph" w:customStyle="1" w:styleId="GDMTableNote">
    <w:name w:val="GDM Table Note"/>
    <w:basedOn w:val="Normal"/>
    <w:next w:val="Normal"/>
    <w:qFormat/>
    <w:pPr>
      <w:spacing w:before="80" w:after="0" w:line="221" w:lineRule="atLeast"/>
    </w:pPr>
    <w:rPr>
      <w:color w:val="6B7684"/>
      <w:sz w:val="16"/>
      <w:szCs w:val="16"/>
    </w:rPr>
  </w:style>
  <w:style w:type="paragraph" w:customStyle="1" w:styleId="GDMUnavailable">
    <w:name w:val="GDM Unavailable"/>
    <w:basedOn w:val="Normal"/>
    <w:next w:val="Normal"/>
    <w:qFormat/>
    <w:pPr>
      <w:shd w:val="clear" w:color="auto" w:fill="F4F7FA"/>
      <w:spacing w:before="180" w:after="180" w:line="221" w:lineRule="atLeast"/>
    </w:pPr>
    <w:rPr>
      <w:color w:val="6B7684"/>
      <w:sz w:val="16"/>
      <w:szCs w:val="16"/>
    </w:rPr>
  </w:style>
  <w:style w:type="paragraph" w:customStyle="1" w:styleId="GDMChart">
    <w:name w:val="GDM Chart"/>
    <w:basedOn w:val="Normal"/>
    <w:next w:val="Normal"/>
    <w:qFormat/>
    <w:pPr>
      <w:spacing w:before="180" w:after="180" w:line="0" w:lineRule="atLeast"/>
    </w:pPr>
  </w:style>
  <w:style w:type="paragraph" w:customStyle="1" w:styleId="GDMLogo">
    <w:name w:val="GDM Logo"/>
    <w:basedOn w:val="Normal"/>
    <w:next w:val="Normal"/>
    <w:qFormat/>
    <w:pPr>
      <w:spacing w:after="0" w:line="0" w:lineRule="atLeast"/>
    </w:pPr>
  </w:style>
  <w:style w:type="paragraph" w:customStyle="1" w:styleId="GDMSpacer">
    <w:name w:val="GDM Spacer"/>
    <w:basedOn w:val="Normal"/>
    <w:next w:val="Normal"/>
    <w:qFormat/>
    <w:pPr>
      <w:spacing w:after="180" w:line="0" w:lineRule="atLeast"/>
    </w:pPr>
  </w:style>
  <w:style w:type="paragraph" w:customStyle="1" w:styleId="GDMFooter">
    <w:name w:val="GDM Footer"/>
    <w:basedOn w:val="Normal"/>
    <w:next w:val="Normal"/>
    <w:qFormat/>
    <w:pPr>
      <w:tabs>
        <w:tab w:val="right" w:pos="9660"/>
      </w:tabs>
      <w:spacing w:after="0" w:line="150" w:lineRule="atLeast"/>
    </w:pPr>
    <w:rPr>
      <w:color w:val="8B96A3"/>
      <w:spacing w:val="6"/>
      <w:sz w:val="15"/>
      <w:szCs w:val="15"/>
    </w:rPr>
  </w:style>
  <w:style w:type="paragraph" w:customStyle="1" w:styleId="GDMCover">
    <w:name w:val="GDM Cover"/>
    <w:basedOn w:val="Normal"/>
    <w:next w:val="Normal"/>
    <w:qFormat/>
    <w:pPr>
      <w:spacing w:after="0" w:line="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Proposal</dc:title>
  <cp:lastModifiedBy>Andrei Nedelcu</cp:lastModifiedBy>
  <cp:revision>2</cp:revision>
  <dcterms:created xsi:type="dcterms:W3CDTF">2026-10-27T15:48:00Z</dcterms:created>
  <dcterms:modified xsi:type="dcterms:W3CDTF">2026-10-27T15:51:00Z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sisExporter">
    <vt:lpwstr>gdm-docx-export/1</vt:lpwstr>
  </property>
  <property fmtid="{D5CDD505-2E9C-101B-9397-08002B2CF9AE}" pid="3" name="GenesisRasterStack">
    <vt:lpwstr>pypdfium2 5.13.0; pdfium 153.0.7999.0; Pillow 13.0.0</vt:lpwstr>
  </property>
  <property fmtid="{D5CDD505-2E9C-101B-9397-08002B2CF9AE}" pid="4" name="GenesisFinalization">
    <vt:lpwstr>c31fc63c-a5bc-424d-bec0-ca4945587f96</vt:lpwstr>
  </property>
  <property fmtid="{D5CDD505-2E9C-101B-9397-08002B2CF9AE}" pid="5" name="GenesisPdfSha256">
    <vt:lpwstr>7b26b6634aec67a28af9a8eaa62817a770decb88afbe279dc8bb354530d0d237</vt:lpwstr>
  </property>
</Properties>
</file>